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center"/>
        <w:rPr/>
      </w:pPr>
      <w:r>
        <w:rPr>
          <w:rStyle w:val="Strong"/>
        </w:rPr>
        <w:t>BioVoyager Business Plan</w:t>
        <w:br/>
        <w:t>Prepared for Investors and Strategic Partners</w:t>
        <w:br/>
        <w:t>June 2026</w:t>
      </w:r>
    </w:p>
    <w:p>
      <w:pPr>
        <w:pStyle w:val="BodyText"/>
        <w:bidi w:val="0"/>
        <w:ind w:hanging="0" w:left="0" w:right="0"/>
        <w:jc w:val="left"/>
        <w:rPr/>
      </w:pPr>
      <w:r>
        <w:rPr>
          <w:rStyle w:val="Strong"/>
        </w:rPr>
        <w:t>Confidential – For Discussion Purposes Only</w:t>
      </w:r>
    </w:p>
    <w:p>
      <w:pPr>
        <w:pStyle w:val="Heading3"/>
        <w:bidi w:val="0"/>
        <w:spacing w:lineRule="auto" w:line="276" w:before="0" w:after="140"/>
        <w:jc w:val="left"/>
        <w:rPr/>
      </w:pPr>
      <w:r>
        <w:rPr/>
        <w:t>Executive Summary</w:t>
      </w:r>
    </w:p>
    <w:p>
      <w:pPr>
        <w:pStyle w:val="BodyText"/>
        <w:bidi w:val="0"/>
        <w:ind w:hanging="0" w:left="0" w:right="0"/>
        <w:jc w:val="left"/>
        <w:rPr/>
      </w:pPr>
      <w:r>
        <w:rPr>
          <w:rStyle w:val="Strong"/>
        </w:rPr>
        <w:t>BioVoyager</w:t>
      </w:r>
      <w:r>
        <w:rPr/>
        <w:t xml:space="preserve"> is a Tampa, Florida-based preclinical biotechnology company discovering and developing breakthrough molecules and AAV gene therapies to extend healthy human lifespan at the cellular level. Our integrated platform combines </w:t>
      </w:r>
      <w:r>
        <w:rPr>
          <w:rStyle w:val="Strong"/>
        </w:rPr>
        <w:t>high-throughput screening (HTS)</w:t>
      </w:r>
      <w:r>
        <w:rPr/>
        <w:t xml:space="preserve"> using a GFP reporter system with AAV-based gene therapy development targeting multiple dysregulated longevity pathways.</w:t>
      </w:r>
    </w:p>
    <w:p>
      <w:pPr>
        <w:pStyle w:val="BodyText"/>
        <w:bidi w:val="0"/>
        <w:ind w:hanging="0" w:left="0" w:right="0"/>
        <w:jc w:val="left"/>
        <w:rPr/>
      </w:pPr>
      <w:r>
        <w:rPr/>
        <w:t xml:space="preserve">Core targets include </w:t>
      </w:r>
      <w:r>
        <w:rPr>
          <w:rStyle w:val="Strong"/>
        </w:rPr>
        <w:t>hTERT/telomerase</w:t>
      </w:r>
      <w:r>
        <w:rPr/>
        <w:t xml:space="preserve"> (to slow aging via telomere maintenance), </w:t>
      </w:r>
      <w:r>
        <w:rPr>
          <w:rStyle w:val="Strong"/>
        </w:rPr>
        <w:t>follistatin</w:t>
      </w:r>
      <w:r>
        <w:rPr/>
        <w:t xml:space="preserve"> (to counter muscle loss), and </w:t>
      </w:r>
      <w:r>
        <w:rPr>
          <w:rStyle w:val="Strong"/>
        </w:rPr>
        <w:t>JAM2</w:t>
      </w:r>
      <w:r>
        <w:rPr/>
        <w:t xml:space="preserve"> (to address intestinal permeability), plus additional pathways like 15-lipoxygenase, IL-17A, GSK3, and MC1R. We focus on the most critical “shortest fuses” of aging—reactivating key genes and managing its downstream consequences.</w:t>
      </w:r>
    </w:p>
    <w:p>
      <w:pPr>
        <w:pStyle w:val="BodyText"/>
        <w:bidi w:val="0"/>
        <w:ind w:hanging="0" w:left="0" w:right="0"/>
        <w:jc w:val="left"/>
        <w:rPr/>
      </w:pPr>
      <w:r>
        <w:rPr>
          <w:rStyle w:val="Strong"/>
        </w:rPr>
        <w:t>Business model</w:t>
      </w:r>
      <w:r>
        <w:rPr/>
        <w:t>: We perform the science (HTS compound discovery and AAV construct development) and license hits, constructs, and research results to partners. Partners handle manufacturing, distribution, regulatory advancement, and commercialization. Revenue comes from upfront fees, 5–10% royalties on product sales, and custom research/CRO services. This partner-first approach accelerates commercialization while keeping our costs low.</w:t>
      </w:r>
    </w:p>
    <w:p>
      <w:pPr>
        <w:pStyle w:val="BodyText"/>
        <w:bidi w:val="0"/>
        <w:ind w:hanging="0" w:left="0" w:right="0"/>
        <w:jc w:val="left"/>
        <w:rPr/>
      </w:pPr>
      <w:r>
        <w:rPr>
          <w:rStyle w:val="Strong"/>
        </w:rPr>
        <w:t>Key advantages</w:t>
      </w:r>
      <w:r>
        <w:rPr/>
        <w:t>:</w:t>
      </w:r>
    </w:p>
    <w:p>
      <w:pPr>
        <w:pStyle w:val="BodyText"/>
        <w:numPr>
          <w:ilvl w:val="0"/>
          <w:numId w:val="2"/>
        </w:numPr>
        <w:tabs>
          <w:tab w:val="clear" w:pos="709"/>
          <w:tab w:val="left" w:pos="709" w:leader="none"/>
        </w:tabs>
        <w:bidi w:val="0"/>
        <w:spacing w:before="0" w:after="0"/>
        <w:ind w:hanging="283" w:left="709"/>
        <w:jc w:val="left"/>
        <w:rPr/>
      </w:pPr>
      <w:r>
        <w:rPr/>
        <w:t xml:space="preserve">Multi-target, cost-efficient HTS platform (different promoters and libraries vs. single-target efforts like MD Anderson/Scripps on hTERT). </w:t>
      </w:r>
    </w:p>
    <w:p>
      <w:pPr>
        <w:pStyle w:val="BodyText"/>
        <w:numPr>
          <w:ilvl w:val="0"/>
          <w:numId w:val="2"/>
        </w:numPr>
        <w:tabs>
          <w:tab w:val="clear" w:pos="709"/>
          <w:tab w:val="left" w:pos="709" w:leader="none"/>
        </w:tabs>
        <w:bidi w:val="0"/>
        <w:spacing w:before="0" w:after="0"/>
        <w:ind w:hanging="283" w:left="709"/>
        <w:jc w:val="left"/>
        <w:rPr/>
      </w:pPr>
      <w:r>
        <w:rPr/>
        <w:t xml:space="preserve">Access to USF wet labs with planned expansion to Moffitt/Speros campus. </w:t>
      </w:r>
    </w:p>
    <w:p>
      <w:pPr>
        <w:pStyle w:val="BodyText"/>
        <w:numPr>
          <w:ilvl w:val="0"/>
          <w:numId w:val="2"/>
        </w:numPr>
        <w:tabs>
          <w:tab w:val="clear" w:pos="709"/>
          <w:tab w:val="left" w:pos="709" w:leader="none"/>
        </w:tabs>
        <w:bidi w:val="0"/>
        <w:spacing w:before="0" w:after="0"/>
        <w:ind w:hanging="283" w:left="709"/>
        <w:jc w:val="left"/>
        <w:rPr/>
      </w:pPr>
      <w:r>
        <w:rPr/>
        <w:t xml:space="preserve">Strong, complementary team with data science, preclinical toxicology/GLP expertise, clinical neurosurgery insight, and AI/software capabilities. </w:t>
      </w:r>
    </w:p>
    <w:p>
      <w:pPr>
        <w:pStyle w:val="BodyText"/>
        <w:numPr>
          <w:ilvl w:val="0"/>
          <w:numId w:val="2"/>
        </w:numPr>
        <w:tabs>
          <w:tab w:val="clear" w:pos="709"/>
          <w:tab w:val="left" w:pos="709" w:leader="none"/>
        </w:tabs>
        <w:bidi w:val="0"/>
        <w:spacing w:before="0" w:after="0"/>
        <w:ind w:hanging="283" w:left="709"/>
        <w:jc w:val="left"/>
        <w:rPr/>
      </w:pPr>
      <w:r>
        <w:rPr/>
        <w:t xml:space="preserve">Self-financed with runway through end of 2029 and ~$1M already invested by founders/team. </w:t>
      </w:r>
    </w:p>
    <w:p>
      <w:pPr>
        <w:pStyle w:val="BodyText"/>
        <w:numPr>
          <w:ilvl w:val="0"/>
          <w:numId w:val="2"/>
        </w:numPr>
        <w:tabs>
          <w:tab w:val="clear" w:pos="709"/>
          <w:tab w:val="left" w:pos="709" w:leader="none"/>
        </w:tabs>
        <w:bidi w:val="0"/>
        <w:ind w:hanging="283" w:left="709"/>
        <w:jc w:val="left"/>
        <w:rPr/>
      </w:pPr>
      <w:r>
        <w:rPr/>
        <w:t xml:space="preserve">Current HTS capacity of 50k compounds/month (expandable to 200k). </w:t>
      </w:r>
    </w:p>
    <w:p>
      <w:pPr>
        <w:pStyle w:val="BodyText"/>
        <w:bidi w:val="0"/>
        <w:ind w:hanging="0" w:left="0" w:right="0"/>
        <w:jc w:val="left"/>
        <w:rPr/>
      </w:pPr>
      <w:r>
        <w:rPr>
          <w:rStyle w:val="Strong"/>
        </w:rPr>
        <w:t>Funding ask</w:t>
      </w:r>
      <w:r>
        <w:rPr/>
        <w:t>: $2 million expansion round (minimum individual investments of $50k accepted) to grow the library to 500k compounds, boost capacity/throughput, add equipment and 2 lab technicians, and accelerate plasmid/AAV development. This will drive first licensing deals and royalty revenue by late 2027.</w:t>
      </w:r>
    </w:p>
    <w:p>
      <w:pPr>
        <w:pStyle w:val="BodyText"/>
        <w:bidi w:val="0"/>
        <w:ind w:hanging="0" w:left="0" w:right="0"/>
        <w:jc w:val="left"/>
        <w:rPr/>
      </w:pPr>
      <w:r>
        <w:rPr>
          <w:rStyle w:val="Strong"/>
        </w:rPr>
        <w:t>Vision</w:t>
      </w:r>
      <w:r>
        <w:rPr/>
        <w:t>: Become the preferred preclinical partner delivering validated longevity hits and gene therapy constructs to pharma, nutraceutical producers, and longevity clinics.</w:t>
      </w:r>
    </w:p>
    <w:p>
      <w:pPr>
        <w:pStyle w:val="Heading3"/>
        <w:bidi w:val="0"/>
        <w:spacing w:lineRule="auto" w:line="276" w:before="0" w:after="140"/>
        <w:jc w:val="left"/>
        <w:rPr/>
      </w:pPr>
      <w:r>
        <w:rPr/>
        <w:t>Company Overview &amp; Vision</w:t>
      </w:r>
    </w:p>
    <w:p>
      <w:pPr>
        <w:pStyle w:val="BodyText"/>
        <w:bidi w:val="0"/>
        <w:ind w:hanging="0" w:left="0" w:right="0"/>
        <w:jc w:val="left"/>
        <w:rPr/>
      </w:pPr>
      <w:r>
        <w:rPr/>
        <w:t>BioVoyager’s mission is: “Discover and commercialize breakthrough molecules and gene therapies that extend healthy human lifespan.” All work is strictly preclinical. We reactivate longevity genes and address aging consequences such as intestinal permeability and sarcopenia (muscle loss). Our philosophy: tackle the most important and obvious targets first—like extinguishing the biggest fires—until aging’s effects are comprehensively managed.</w:t>
      </w:r>
    </w:p>
    <w:p>
      <w:pPr>
        <w:pStyle w:val="BodyText"/>
        <w:bidi w:val="0"/>
        <w:ind w:hanging="0" w:left="0" w:right="0"/>
        <w:jc w:val="left"/>
        <w:rPr/>
      </w:pPr>
      <w:r>
        <w:rPr/>
        <w:t>We operate from Tampa, FL, using University of South Florida (USF) wet-lab facilities and plan to expand/relocate to the new Moffitt Cancer Center/Speros research campus by 2028 for enhanced collaboration and scale.</w:t>
      </w:r>
    </w:p>
    <w:p>
      <w:pPr>
        <w:pStyle w:val="BodyText"/>
        <w:bidi w:val="0"/>
        <w:ind w:hanging="0" w:left="0" w:right="0"/>
        <w:jc w:val="left"/>
        <w:rPr/>
      </w:pPr>
      <w:r>
        <w:rPr>
          <w:rStyle w:val="Strong"/>
        </w:rPr>
        <w:t>Milestones</w:t>
      </w:r>
      <w:r>
        <w:rPr/>
        <w:t>:</w:t>
      </w:r>
    </w:p>
    <w:p>
      <w:pPr>
        <w:pStyle w:val="BodyText"/>
        <w:numPr>
          <w:ilvl w:val="0"/>
          <w:numId w:val="3"/>
        </w:numPr>
        <w:tabs>
          <w:tab w:val="clear" w:pos="709"/>
          <w:tab w:val="left" w:pos="709" w:leader="none"/>
        </w:tabs>
        <w:bidi w:val="0"/>
        <w:spacing w:before="0" w:after="0"/>
        <w:ind w:hanging="283" w:left="709"/>
        <w:jc w:val="left"/>
        <w:rPr/>
      </w:pPr>
      <w:r>
        <w:rPr>
          <w:rStyle w:val="Strong"/>
        </w:rPr>
        <w:t>1-year (2026–2027)</w:t>
      </w:r>
      <w:r>
        <w:rPr/>
        <w:t xml:space="preserve">: Secure funding, complete initial HTS runs, advance plasmids/AAV constructs for JAM2, hTERT, and follistatin, and deliver a genetically modified </w:t>
      </w:r>
      <w:r>
        <w:rPr>
          <w:rStyle w:val="Emphasis"/>
        </w:rPr>
        <w:t>Lactobacillus</w:t>
      </w:r>
      <w:r>
        <w:rPr/>
        <w:t xml:space="preserve"> probiotic for gut health. </w:t>
      </w:r>
    </w:p>
    <w:p>
      <w:pPr>
        <w:pStyle w:val="BodyText"/>
        <w:numPr>
          <w:ilvl w:val="0"/>
          <w:numId w:val="3"/>
        </w:numPr>
        <w:tabs>
          <w:tab w:val="clear" w:pos="709"/>
          <w:tab w:val="left" w:pos="709" w:leader="none"/>
        </w:tabs>
        <w:bidi w:val="0"/>
        <w:spacing w:before="0" w:after="0"/>
        <w:ind w:hanging="283" w:left="709"/>
        <w:jc w:val="left"/>
        <w:rPr/>
      </w:pPr>
      <w:r>
        <w:rPr>
          <w:rStyle w:val="Strong"/>
        </w:rPr>
        <w:t>3-year (2028)</w:t>
      </w:r>
      <w:r>
        <w:rPr/>
        <w:t xml:space="preserve">: Multiple licensing deals, expanded HTS capacity (up to 200k compounds/month), first royalty revenue, and Speros campus integration. </w:t>
      </w:r>
    </w:p>
    <w:p>
      <w:pPr>
        <w:pStyle w:val="BodyText"/>
        <w:numPr>
          <w:ilvl w:val="0"/>
          <w:numId w:val="3"/>
        </w:numPr>
        <w:tabs>
          <w:tab w:val="clear" w:pos="709"/>
          <w:tab w:val="left" w:pos="709" w:leader="none"/>
        </w:tabs>
        <w:bidi w:val="0"/>
        <w:ind w:hanging="283" w:left="709"/>
        <w:jc w:val="left"/>
        <w:rPr/>
      </w:pPr>
      <w:r>
        <w:rPr>
          <w:rStyle w:val="Strong"/>
        </w:rPr>
        <w:t>5-year (2030)</w:t>
      </w:r>
      <w:r>
        <w:rPr/>
        <w:t xml:space="preserve">: Portfolio of licensed molecules and gene therapies generating recurring royalties, with contributions to validated longevity interventions. </w:t>
      </w:r>
    </w:p>
    <w:p>
      <w:pPr>
        <w:pStyle w:val="Heading3"/>
        <w:bidi w:val="0"/>
        <w:spacing w:lineRule="auto" w:line="276" w:before="0" w:after="140"/>
        <w:jc w:val="left"/>
        <w:rPr/>
      </w:pPr>
      <w:r>
        <w:rPr/>
        <w:t>Team &amp; Background</w:t>
      </w:r>
    </w:p>
    <w:p>
      <w:pPr>
        <w:pStyle w:val="BodyText"/>
        <w:bidi w:val="0"/>
        <w:ind w:hanging="0" w:left="0" w:right="0"/>
        <w:jc w:val="left"/>
        <w:rPr/>
      </w:pPr>
      <w:r>
        <w:rPr>
          <w:rStyle w:val="Strong"/>
        </w:rPr>
        <w:t>Dragan Nikolic, MS – CEO &amp; Founder</w:t>
      </w:r>
      <w:r>
        <w:rPr/>
        <w:br/>
        <w:t xml:space="preserve">Dragan Nikolic combines deep data science, programming, and molecular biology expertise. He is completing an M.S. in Medical Microbiology and Biochemistry at the University of Florida (expected 2026) and pursuing a Distance Ph.D. in Microbiology and Cell Science (concentration in Microbial and Cellular Data Science). His background includes data scientist roles (VA Room, Equitable Advisors—ML models and automation), IT Project Management, and extensive freelance work in AI, automation, large-scale data pipelines, and computational genomics. Six Sigma Black Belt and multiple Udacity certifications in Data Science/AI. His skills directly power BioVoyager’s HTS analysis and custom pipelines. Contact: </w:t>
      </w:r>
      <w:hyperlink r:id="rId2" w:tgtFrame="_blank">
        <w:r>
          <w:rPr>
            <w:rStyle w:val="Hyperlink"/>
          </w:rPr>
          <w:t>dr.nikolic@ufl.edu</w:t>
        </w:r>
      </w:hyperlink>
      <w:r>
        <w:rPr/>
        <w:t xml:space="preserve"> | 312-730-2562.</w:t>
      </w:r>
    </w:p>
    <w:p>
      <w:pPr>
        <w:pStyle w:val="BodyText"/>
        <w:bidi w:val="0"/>
        <w:ind w:hanging="0" w:left="0" w:right="0"/>
        <w:jc w:val="left"/>
        <w:rPr/>
      </w:pPr>
      <w:r>
        <w:rPr>
          <w:rStyle w:val="Strong"/>
        </w:rPr>
        <w:t>Daniel L. Black – Toxicology &amp; Preclinical Advisor</w:t>
      </w:r>
      <w:r>
        <w:rPr/>
        <w:br/>
        <w:t>40–50+ years in preclinical toxicology, safety assessment, DART/teratology, GLP compliance, and regulatory preparation. Former Study Director, Supervisor of Safety Assessment, and leader at Midwest Teratology Association. Founder of CARE Research, Inc.; currently Vice President and Director of Toxicology and Pharmacokinetics at CARE Research, LLC (Colorado), a GLP-compliant preclinical CRO serving biotechs and big pharma. Essential for de-risking candidates and study design.</w:t>
      </w:r>
    </w:p>
    <w:p>
      <w:pPr>
        <w:pStyle w:val="BodyText"/>
        <w:bidi w:val="0"/>
        <w:ind w:hanging="0" w:left="0" w:right="0"/>
        <w:jc w:val="left"/>
        <w:rPr/>
      </w:pPr>
      <w:r>
        <w:rPr>
          <w:rStyle w:val="Strong"/>
        </w:rPr>
        <w:t>Dr. Dejan Slavnic, DO, FAANS – Clinical &amp; Neurosurgical Advisor</w:t>
      </w:r>
      <w:r>
        <w:rPr/>
        <w:br/>
        <w:t>Board-certified neurosurgeon (Total Spine &amp; Brain Institute, HCA Florida Brandon Regional Hospital, Tampa Bay area). Expertise in minimally invasive/robotic spine surgery, cranial procedures, inflammation, and neuroprotection. Provides clinical translation insight for targets like GSK3, IL-17A, and follistatin. Strong publication record and Florida network.</w:t>
      </w:r>
    </w:p>
    <w:p>
      <w:pPr>
        <w:pStyle w:val="BodyText"/>
        <w:bidi w:val="0"/>
        <w:ind w:hanging="0" w:left="0" w:right="0"/>
        <w:jc w:val="left"/>
        <w:rPr/>
      </w:pPr>
      <w:r>
        <w:rPr>
          <w:rStyle w:val="Strong"/>
        </w:rPr>
        <w:t>Saša Milić – Software Engineering &amp; AI Lead</w:t>
      </w:r>
      <w:r>
        <w:rPr/>
        <w:br/>
        <w:t>Frontend software engineer (React/TypeScript), owner of MetaLinux AI Labs, professor, and entrepreneur. Supports HTS data automation, pipeline development, and AI-assisted optimization.</w:t>
      </w:r>
    </w:p>
    <w:p>
      <w:pPr>
        <w:pStyle w:val="BodyText"/>
        <w:bidi w:val="0"/>
        <w:ind w:hanging="0" w:left="0" w:right="0"/>
        <w:jc w:val="left"/>
        <w:rPr/>
      </w:pPr>
      <w:r>
        <w:rPr/>
        <w:t>Additional support via USF collaborations and equity-compensated team members.</w:t>
      </w:r>
    </w:p>
    <w:p>
      <w:pPr>
        <w:pStyle w:val="Heading3"/>
        <w:bidi w:val="0"/>
        <w:spacing w:lineRule="auto" w:line="276" w:before="0" w:after="140"/>
        <w:jc w:val="left"/>
        <w:rPr/>
      </w:pPr>
      <w:r>
        <w:rPr/>
        <w:t>Technology &amp; Pipeline</w:t>
      </w:r>
    </w:p>
    <w:p>
      <w:pPr>
        <w:pStyle w:val="BodyText"/>
        <w:bidi w:val="0"/>
        <w:ind w:hanging="0" w:left="0" w:right="0"/>
        <w:jc w:val="left"/>
        <w:rPr/>
      </w:pPr>
      <w:r>
        <w:rPr>
          <w:rStyle w:val="Strong"/>
        </w:rPr>
        <w:t>Key Targets (plain-English)</w:t>
      </w:r>
      <w:r>
        <w:rPr/>
        <w:t>:</w:t>
        <w:br/>
        <w:t>Aging dysregulates critical proteins. We prioritize the highest-impact ones:</w:t>
      </w:r>
    </w:p>
    <w:p>
      <w:pPr>
        <w:pStyle w:val="BodyText"/>
        <w:numPr>
          <w:ilvl w:val="0"/>
          <w:numId w:val="4"/>
        </w:numPr>
        <w:tabs>
          <w:tab w:val="clear" w:pos="709"/>
          <w:tab w:val="left" w:pos="709" w:leader="none"/>
        </w:tabs>
        <w:bidi w:val="0"/>
        <w:spacing w:before="0" w:after="0"/>
        <w:ind w:hanging="283" w:left="709"/>
        <w:jc w:val="left"/>
        <w:rPr/>
      </w:pPr>
      <w:r>
        <w:rPr>
          <w:rStyle w:val="Strong"/>
        </w:rPr>
        <w:t>hTERT/telomerase</w:t>
      </w:r>
      <w:r>
        <w:rPr/>
        <w:t xml:space="preserve">: Reactivates the enzyme that extends telomeres (protective chromosome caps), allowing cells to divide without aging—potentially slowing or reversing cellular aging at its root. </w:t>
      </w:r>
    </w:p>
    <w:p>
      <w:pPr>
        <w:pStyle w:val="BodyText"/>
        <w:numPr>
          <w:ilvl w:val="0"/>
          <w:numId w:val="4"/>
        </w:numPr>
        <w:tabs>
          <w:tab w:val="clear" w:pos="709"/>
          <w:tab w:val="left" w:pos="709" w:leader="none"/>
        </w:tabs>
        <w:bidi w:val="0"/>
        <w:spacing w:before="0" w:after="0"/>
        <w:ind w:hanging="283" w:left="709"/>
        <w:jc w:val="left"/>
        <w:rPr/>
      </w:pPr>
      <w:r>
        <w:rPr>
          <w:rStyle w:val="Strong"/>
        </w:rPr>
        <w:t>Follistatin</w:t>
      </w:r>
      <w:r>
        <w:rPr/>
        <w:t xml:space="preserve">: Inhibits myostatin (the “brake” on muscle growth), promoting muscle mass, strength, and regeneration—directly countering sarcopenia (age-related muscle loss). </w:t>
      </w:r>
    </w:p>
    <w:p>
      <w:pPr>
        <w:pStyle w:val="BodyText"/>
        <w:numPr>
          <w:ilvl w:val="0"/>
          <w:numId w:val="4"/>
        </w:numPr>
        <w:tabs>
          <w:tab w:val="clear" w:pos="709"/>
          <w:tab w:val="left" w:pos="709" w:leader="none"/>
        </w:tabs>
        <w:bidi w:val="0"/>
        <w:ind w:hanging="283" w:left="709"/>
        <w:jc w:val="left"/>
        <w:rPr/>
      </w:pPr>
      <w:r>
        <w:rPr>
          <w:rStyle w:val="Strong"/>
        </w:rPr>
        <w:t>JAM2</w:t>
      </w:r>
      <w:r>
        <w:rPr/>
        <w:t xml:space="preserve">: Addresses intestinal permeability (“leaky gut”), a major consequence of aging that drives systemic inflammation. </w:t>
      </w:r>
    </w:p>
    <w:p>
      <w:pPr>
        <w:pStyle w:val="BodyText"/>
        <w:bidi w:val="0"/>
        <w:ind w:hanging="0" w:left="0" w:right="0"/>
        <w:jc w:val="left"/>
        <w:rPr/>
      </w:pPr>
      <w:r>
        <w:rPr/>
        <w:t>Additional targets (15-lipoxygenase for oxidative stress/lipid metabolism, IL-17A for chronic inflammation, GSK3 for neuroinflammation/Alzheimer’s models, MC1R for reversing hair graying) round out our multi-pathway approach.</w:t>
      </w:r>
    </w:p>
    <w:p>
      <w:pPr>
        <w:pStyle w:val="BodyText"/>
        <w:bidi w:val="0"/>
        <w:ind w:hanging="0" w:left="0" w:right="0"/>
        <w:jc w:val="left"/>
        <w:rPr/>
      </w:pPr>
      <w:r>
        <w:rPr>
          <w:rStyle w:val="Strong"/>
        </w:rPr>
        <w:t>HTS Platform</w:t>
      </w:r>
      <w:r>
        <w:rPr/>
        <w:t>:</w:t>
        <w:br/>
        <w:t>We use a high-throughput GFP reporter system to rapidly test tens or hundreds of thousands of compounds for activators of hTERT and other longevity genes. Current capacity: 50k compounds/month (expandable to 200k).</w:t>
      </w:r>
    </w:p>
    <w:p>
      <w:pPr>
        <w:pStyle w:val="BodyText"/>
        <w:bidi w:val="0"/>
        <w:ind w:hanging="0" w:left="0" w:right="0"/>
        <w:jc w:val="left"/>
        <w:rPr/>
      </w:pPr>
      <w:r>
        <w:rPr>
          <w:rStyle w:val="Strong"/>
        </w:rPr>
        <w:t>Differentiation vs. others</w:t>
      </w:r>
      <w:r>
        <w:rPr/>
        <w:t xml:space="preserve"> (e.g., University of Texas MD Anderson/Scripps TERT work): Their excellent research has focused primarily on hTERT. Ours is wider—multiple promoters, broader libraries, and multi-target screening (hTERT + follistatin + JAM2 + others). We operate more cost-effectively and emphasize immediate partnering: “We handle the science—you handle production and distribution.” No interest in building our own manufacturing/distribution at this stage; we seek collaborators who will advance hits into products.</w:t>
      </w:r>
    </w:p>
    <w:p>
      <w:pPr>
        <w:pStyle w:val="BodyText"/>
        <w:bidi w:val="0"/>
        <w:ind w:hanging="0" w:left="0" w:right="0"/>
        <w:jc w:val="left"/>
        <w:rPr/>
      </w:pPr>
      <w:r>
        <w:rPr>
          <w:rStyle w:val="Strong"/>
        </w:rPr>
        <w:t>Gene Therapy</w:t>
      </w:r>
      <w:r>
        <w:rPr/>
        <w:t>: AAV-based delivery of hTERT or follistatin genes for long-term cellular expression.</w:t>
      </w:r>
    </w:p>
    <w:p>
      <w:pPr>
        <w:pStyle w:val="BodyText"/>
        <w:bidi w:val="0"/>
        <w:ind w:hanging="0" w:left="0" w:right="0"/>
        <w:jc w:val="left"/>
        <w:rPr/>
      </w:pPr>
      <w:r>
        <w:rPr>
          <w:rStyle w:val="Strong"/>
        </w:rPr>
        <w:t>Timeline &amp; Success Metrics</w:t>
      </w:r>
      <w:r>
        <w:rPr/>
        <w:t>:</w:t>
        <w:br/>
        <w:t xml:space="preserve">By end of 2027 we expect to have tested 100k compounds against JAM2 and completed a genetically modified </w:t>
      </w:r>
      <w:r>
        <w:rPr>
          <w:rStyle w:val="Emphasis"/>
        </w:rPr>
        <w:t>Lactobacillus</w:t>
      </w:r>
      <w:r>
        <w:rPr/>
        <w:t xml:space="preserve"> probiotic. Success = identification of hits (validated activators), proof-of-concept data in assays, and ready-to-license molecules/constructs.</w:t>
      </w:r>
    </w:p>
    <w:p>
      <w:pPr>
        <w:pStyle w:val="BodyText"/>
        <w:bidi w:val="0"/>
        <w:ind w:hanging="0" w:left="0" w:right="0"/>
        <w:jc w:val="left"/>
        <w:rPr/>
      </w:pPr>
      <w:r>
        <w:rPr>
          <w:rStyle w:val="Strong"/>
        </w:rPr>
        <w:t>Current Stage</w:t>
      </w:r>
      <w:r>
        <w:rPr/>
        <w:t>: Preclinical, USF wet labs, bootstrapped with all core equipment in place. Initial results expected by end of 2026.</w:t>
      </w:r>
    </w:p>
    <w:p>
      <w:pPr>
        <w:pStyle w:val="Heading3"/>
        <w:bidi w:val="0"/>
        <w:spacing w:lineRule="auto" w:line="276" w:before="0" w:after="140"/>
        <w:jc w:val="left"/>
        <w:rPr/>
      </w:pPr>
      <w:r>
        <w:rPr/>
        <w:t>Market Opportunity &amp; Competition</w:t>
      </w:r>
    </w:p>
    <w:p>
      <w:pPr>
        <w:pStyle w:val="BodyText"/>
        <w:bidi w:val="0"/>
        <w:ind w:hanging="0" w:left="0" w:right="0"/>
        <w:jc w:val="left"/>
        <w:rPr/>
      </w:pPr>
      <w:r>
        <w:rPr/>
        <w:t>The longevity market is exploding—nutraceuticals/supplements already multi-billion and growing rapidly, with gene therapy and targeted molecules following. Targets: 2nd/3rd-stage pharma (licensing), longevity clinics, and nutraceutical/supplement producers.</w:t>
      </w:r>
    </w:p>
    <w:p>
      <w:pPr>
        <w:pStyle w:val="BodyText"/>
        <w:bidi w:val="0"/>
        <w:ind w:hanging="0" w:left="0" w:right="0"/>
        <w:jc w:val="left"/>
        <w:rPr/>
      </w:pPr>
      <w:r>
        <w:rPr>
          <w:rStyle w:val="Strong"/>
        </w:rPr>
        <w:t>Competition</w:t>
      </w:r>
      <w:r>
        <w:rPr/>
        <w:t>: No direct competitors match our multi-target HTS + AAV + licensing-focused model. Related single-target work exists (e.g., MD Anderson TERT activation), but our broader, partner-oriented approach differentiates us.</w:t>
      </w:r>
    </w:p>
    <w:p>
      <w:pPr>
        <w:pStyle w:val="Heading3"/>
        <w:bidi w:val="0"/>
        <w:spacing w:lineRule="auto" w:line="276" w:before="0" w:after="140"/>
        <w:jc w:val="left"/>
        <w:rPr/>
      </w:pPr>
      <w:r>
        <w:rPr/>
        <w:t>Business Model &amp; Go-to-Market</w:t>
      </w:r>
    </w:p>
    <w:p>
      <w:pPr>
        <w:pStyle w:val="BodyText"/>
        <w:bidi w:val="0"/>
        <w:ind w:hanging="0" w:left="0" w:right="0"/>
        <w:jc w:val="left"/>
        <w:rPr/>
      </w:pPr>
      <w:r>
        <w:rPr>
          <w:rStyle w:val="Strong"/>
        </w:rPr>
        <w:t>Short-term (2026–2028)</w:t>
      </w:r>
      <w:r>
        <w:rPr/>
        <w:t>: License validated hits and AAV constructs; provide custom HTS/CRO services and nutraceutical co-development. Revenue via upfront payments + 5–10% royalties on final product sales. First royalties expected late 2027 once partners complete production.</w:t>
      </w:r>
    </w:p>
    <w:p>
      <w:pPr>
        <w:pStyle w:val="BodyText"/>
        <w:bidi w:val="0"/>
        <w:ind w:hanging="0" w:left="0" w:right="0"/>
        <w:jc w:val="left"/>
        <w:rPr/>
      </w:pPr>
      <w:r>
        <w:rPr>
          <w:rStyle w:val="Strong"/>
        </w:rPr>
        <w:t>Long-term</w:t>
      </w:r>
      <w:r>
        <w:rPr/>
        <w:t>: Recurring royalties as partnered therapies advance; expanded services.</w:t>
      </w:r>
    </w:p>
    <w:p>
      <w:pPr>
        <w:pStyle w:val="BodyText"/>
        <w:bidi w:val="0"/>
        <w:ind w:hanging="0" w:left="0" w:right="0"/>
        <w:jc w:val="left"/>
        <w:rPr/>
      </w:pPr>
      <w:r>
        <w:rPr/>
        <w:t>We are open to any lab-offered services (custom screening, technology transfer, probiotic development, etc.) that accelerate partnerships.</w:t>
      </w:r>
    </w:p>
    <w:p>
      <w:pPr>
        <w:pStyle w:val="Heading3"/>
        <w:bidi w:val="0"/>
        <w:spacing w:lineRule="auto" w:line="276" w:before="0" w:after="140"/>
        <w:jc w:val="left"/>
        <w:rPr/>
      </w:pPr>
      <w:r>
        <w:rPr/>
        <w:t>Financials, Funding Needs &amp; Break-Even Analysis</w:t>
      </w:r>
    </w:p>
    <w:p>
      <w:pPr>
        <w:pStyle w:val="BodyText"/>
        <w:bidi w:val="0"/>
        <w:ind w:hanging="0" w:left="0" w:right="0"/>
        <w:jc w:val="left"/>
        <w:rPr/>
      </w:pPr>
      <w:r>
        <w:rPr>
          <w:rStyle w:val="Strong"/>
        </w:rPr>
        <w:t>Current Status</w:t>
      </w:r>
      <w:r>
        <w:rPr/>
        <w:t>:</w:t>
      </w:r>
    </w:p>
    <w:p>
      <w:pPr>
        <w:pStyle w:val="BodyText"/>
        <w:numPr>
          <w:ilvl w:val="0"/>
          <w:numId w:val="5"/>
        </w:numPr>
        <w:tabs>
          <w:tab w:val="clear" w:pos="709"/>
          <w:tab w:val="left" w:pos="709" w:leader="none"/>
        </w:tabs>
        <w:bidi w:val="0"/>
        <w:spacing w:before="0" w:after="0"/>
        <w:ind w:hanging="283" w:left="709"/>
        <w:jc w:val="left"/>
        <w:rPr/>
      </w:pPr>
      <w:r>
        <w:rPr/>
        <w:t xml:space="preserve">Monthly burn rate: ~$20,000 (primarily materials, reagents, and USF lab costs). Team members (beyond Dragan) compensated primarily with equity. </w:t>
      </w:r>
    </w:p>
    <w:p>
      <w:pPr>
        <w:pStyle w:val="BodyText"/>
        <w:numPr>
          <w:ilvl w:val="0"/>
          <w:numId w:val="5"/>
        </w:numPr>
        <w:tabs>
          <w:tab w:val="clear" w:pos="709"/>
          <w:tab w:val="left" w:pos="709" w:leader="none"/>
        </w:tabs>
        <w:bidi w:val="0"/>
        <w:spacing w:before="0" w:after="0"/>
        <w:ind w:hanging="283" w:left="709"/>
        <w:jc w:val="left"/>
        <w:rPr/>
      </w:pPr>
      <w:r>
        <w:rPr/>
        <w:t xml:space="preserve">Variable testing cost: $2 per compound (e.g., $200k for 100k compounds). </w:t>
      </w:r>
    </w:p>
    <w:p>
      <w:pPr>
        <w:pStyle w:val="BodyText"/>
        <w:numPr>
          <w:ilvl w:val="0"/>
          <w:numId w:val="5"/>
        </w:numPr>
        <w:tabs>
          <w:tab w:val="clear" w:pos="709"/>
          <w:tab w:val="left" w:pos="709" w:leader="none"/>
        </w:tabs>
        <w:bidi w:val="0"/>
        <w:spacing w:before="0" w:after="0"/>
        <w:ind w:hanging="283" w:left="709"/>
        <w:jc w:val="left"/>
        <w:rPr/>
      </w:pPr>
      <w:r>
        <w:rPr/>
        <w:t xml:space="preserve">Founders/team have invested ~$1 million to date for setup and early research. </w:t>
      </w:r>
    </w:p>
    <w:p>
      <w:pPr>
        <w:pStyle w:val="BodyText"/>
        <w:numPr>
          <w:ilvl w:val="0"/>
          <w:numId w:val="5"/>
        </w:numPr>
        <w:tabs>
          <w:tab w:val="clear" w:pos="709"/>
          <w:tab w:val="left" w:pos="709" w:leader="none"/>
        </w:tabs>
        <w:bidi w:val="0"/>
        <w:ind w:hanging="283" w:left="709"/>
        <w:jc w:val="left"/>
        <w:rPr/>
      </w:pPr>
      <w:r>
        <w:rPr/>
        <w:t xml:space="preserve">Runway: Self-financed through end of 2029. </w:t>
      </w:r>
    </w:p>
    <w:p>
      <w:pPr>
        <w:pStyle w:val="BodyText"/>
        <w:bidi w:val="0"/>
        <w:ind w:hanging="0" w:left="0" w:right="0"/>
        <w:jc w:val="left"/>
        <w:rPr/>
      </w:pPr>
      <w:r>
        <w:rPr>
          <w:rStyle w:val="Strong"/>
        </w:rPr>
        <w:t>Expansion Plan</w:t>
      </w:r>
      <w:r>
        <w:rPr/>
        <w:t>:</w:t>
      </w:r>
    </w:p>
    <w:p>
      <w:pPr>
        <w:pStyle w:val="BodyText"/>
        <w:numPr>
          <w:ilvl w:val="0"/>
          <w:numId w:val="6"/>
        </w:numPr>
        <w:tabs>
          <w:tab w:val="clear" w:pos="709"/>
          <w:tab w:val="left" w:pos="709" w:leader="none"/>
        </w:tabs>
        <w:bidi w:val="0"/>
        <w:spacing w:before="0" w:after="0"/>
        <w:ind w:hanging="283" w:left="709"/>
        <w:jc w:val="left"/>
        <w:rPr/>
      </w:pPr>
      <w:r>
        <w:rPr/>
        <w:t xml:space="preserve">$2 million investment to expand library to 500k compounds, increase HTS capacity/speed (target 200k/month), acquire additional equipment, and hire 2 lab technicians. </w:t>
      </w:r>
    </w:p>
    <w:p>
      <w:pPr>
        <w:pStyle w:val="BodyText"/>
        <w:numPr>
          <w:ilvl w:val="0"/>
          <w:numId w:val="6"/>
        </w:numPr>
        <w:tabs>
          <w:tab w:val="clear" w:pos="709"/>
          <w:tab w:val="left" w:pos="709" w:leader="none"/>
        </w:tabs>
        <w:bidi w:val="0"/>
        <w:ind w:hanging="283" w:left="709"/>
        <w:jc w:val="left"/>
        <w:rPr/>
      </w:pPr>
      <w:r>
        <w:rPr/>
        <w:t xml:space="preserve">Use of funds: ~60% library/equipment, 20% personnel, 15% operations/milestones, 5% legal/IP. </w:t>
      </w:r>
    </w:p>
    <w:p>
      <w:pPr>
        <w:pStyle w:val="BodyText"/>
        <w:bidi w:val="0"/>
        <w:ind w:hanging="0" w:left="0" w:right="0"/>
        <w:jc w:val="left"/>
        <w:rPr/>
      </w:pPr>
      <w:r>
        <w:rPr>
          <w:rStyle w:val="Strong"/>
        </w:rPr>
        <w:t>Break-Even &amp; Projections (conservative assumptions)</w:t>
      </w:r>
      <w:r>
        <w:rPr/>
        <w:t>:</w:t>
      </w:r>
    </w:p>
    <w:p>
      <w:pPr>
        <w:pStyle w:val="BodyText"/>
        <w:numPr>
          <w:ilvl w:val="0"/>
          <w:numId w:val="7"/>
        </w:numPr>
        <w:tabs>
          <w:tab w:val="clear" w:pos="709"/>
          <w:tab w:val="left" w:pos="709" w:leader="none"/>
        </w:tabs>
        <w:bidi w:val="0"/>
        <w:spacing w:before="0" w:after="0"/>
        <w:ind w:hanging="283" w:left="709"/>
        <w:jc w:val="left"/>
        <w:rPr/>
      </w:pPr>
      <w:r>
        <w:rPr/>
        <w:t xml:space="preserve">Base case: Current 50k/month capacity → typical HTS hit rates (0.1–1%, adjustable based on data) → 2–4 licensing deals/year starting late 2027/early 2028. </w:t>
      </w:r>
    </w:p>
    <w:p>
      <w:pPr>
        <w:pStyle w:val="BodyText"/>
        <w:numPr>
          <w:ilvl w:val="0"/>
          <w:numId w:val="7"/>
        </w:numPr>
        <w:tabs>
          <w:tab w:val="clear" w:pos="709"/>
          <w:tab w:val="left" w:pos="709" w:leader="none"/>
        </w:tabs>
        <w:bidi w:val="0"/>
        <w:spacing w:before="0" w:after="0"/>
        <w:ind w:hanging="283" w:left="709"/>
        <w:jc w:val="left"/>
        <w:rPr/>
      </w:pPr>
      <w:r>
        <w:rPr/>
        <w:t xml:space="preserve">Revenue model: Upfront fees + 5–10% royalties on partner product sales. </w:t>
      </w:r>
    </w:p>
    <w:p>
      <w:pPr>
        <w:pStyle w:val="BodyText"/>
        <w:numPr>
          <w:ilvl w:val="0"/>
          <w:numId w:val="7"/>
        </w:numPr>
        <w:tabs>
          <w:tab w:val="clear" w:pos="709"/>
          <w:tab w:val="left" w:pos="709" w:leader="none"/>
        </w:tabs>
        <w:bidi w:val="0"/>
        <w:spacing w:before="0" w:after="0"/>
        <w:ind w:hanging="283" w:left="709"/>
        <w:jc w:val="left"/>
        <w:rPr/>
      </w:pPr>
      <w:r>
        <w:rPr/>
        <w:t xml:space="preserve">Fixed costs remain modest; variable costs scale with screening volume. </w:t>
      </w:r>
    </w:p>
    <w:p>
      <w:pPr>
        <w:pStyle w:val="BodyText"/>
        <w:numPr>
          <w:ilvl w:val="0"/>
          <w:numId w:val="7"/>
        </w:numPr>
        <w:tabs>
          <w:tab w:val="clear" w:pos="709"/>
          <w:tab w:val="left" w:pos="709" w:leader="none"/>
        </w:tabs>
        <w:bidi w:val="0"/>
        <w:spacing w:before="0" w:after="0"/>
        <w:ind w:hanging="283" w:left="709"/>
        <w:jc w:val="left"/>
        <w:rPr/>
      </w:pPr>
      <w:r>
        <w:rPr>
          <w:rStyle w:val="Strong"/>
        </w:rPr>
        <w:t>Break-even point</w:t>
      </w:r>
      <w:r>
        <w:rPr/>
        <w:t xml:space="preserve">: Projected 24–36 months after $2M funding (late 2028–2029) under base case, with royalty ramp-up. Optimistic (higher hits or faster deals) → 18–24 months. Conservative (slower partnerships) → 36–48 months, still supported by existing 2029 runway. </w:t>
      </w:r>
    </w:p>
    <w:p>
      <w:pPr>
        <w:pStyle w:val="BodyText"/>
        <w:numPr>
          <w:ilvl w:val="0"/>
          <w:numId w:val="7"/>
        </w:numPr>
        <w:tabs>
          <w:tab w:val="clear" w:pos="709"/>
          <w:tab w:val="left" w:pos="709" w:leader="none"/>
        </w:tabs>
        <w:bidi w:val="0"/>
        <w:ind w:hanging="283" w:left="709"/>
        <w:jc w:val="left"/>
        <w:rPr/>
      </w:pPr>
      <w:r>
        <w:rPr/>
        <w:t xml:space="preserve">Additional revenue from CRO/HTS services and nutraceutical partnerships can accelerate profitability. </w:t>
      </w:r>
    </w:p>
    <w:p>
      <w:pPr>
        <w:pStyle w:val="BodyText"/>
        <w:bidi w:val="0"/>
        <w:ind w:hanging="0" w:left="0" w:right="0"/>
        <w:jc w:val="left"/>
        <w:rPr/>
      </w:pPr>
      <w:r>
        <w:rPr/>
        <w:t>Detailed 3–5-year P&amp;L, cash-flow, and sensitivity models (varying hit rate, deal size, expansion timing) available upon request with further input.</w:t>
      </w:r>
    </w:p>
    <w:p>
      <w:pPr>
        <w:pStyle w:val="Heading3"/>
        <w:bidi w:val="0"/>
        <w:spacing w:lineRule="auto" w:line="276" w:before="0" w:after="140"/>
        <w:jc w:val="left"/>
        <w:rPr/>
      </w:pPr>
      <w:r>
        <w:rPr/>
        <w:t>Risks &amp; Mitigation</w:t>
      </w:r>
    </w:p>
    <w:p>
      <w:pPr>
        <w:pStyle w:val="BodyText"/>
        <w:numPr>
          <w:ilvl w:val="0"/>
          <w:numId w:val="8"/>
        </w:numPr>
        <w:tabs>
          <w:tab w:val="clear" w:pos="709"/>
          <w:tab w:val="left" w:pos="709" w:leader="none"/>
        </w:tabs>
        <w:bidi w:val="0"/>
        <w:spacing w:before="0" w:after="0"/>
        <w:ind w:hanging="283" w:left="709"/>
        <w:jc w:val="left"/>
        <w:rPr/>
      </w:pPr>
      <w:r>
        <w:rPr>
          <w:rStyle w:val="Strong"/>
        </w:rPr>
        <w:t>Scientific</w:t>
      </w:r>
      <w:r>
        <w:rPr/>
        <w:t xml:space="preserve">: Variable hit rates or off-target effects → mitigated by multi-target diversification, iterative screening, AI analysis, and broad library. </w:t>
      </w:r>
    </w:p>
    <w:p>
      <w:pPr>
        <w:pStyle w:val="BodyText"/>
        <w:numPr>
          <w:ilvl w:val="0"/>
          <w:numId w:val="8"/>
        </w:numPr>
        <w:tabs>
          <w:tab w:val="clear" w:pos="709"/>
          <w:tab w:val="left" w:pos="709" w:leader="none"/>
        </w:tabs>
        <w:bidi w:val="0"/>
        <w:spacing w:before="0" w:after="0"/>
        <w:ind w:hanging="283" w:left="709"/>
        <w:jc w:val="left"/>
        <w:rPr/>
      </w:pPr>
      <w:r>
        <w:rPr>
          <w:rStyle w:val="Strong"/>
        </w:rPr>
        <w:t>Funding/Execution</w:t>
      </w:r>
      <w:r>
        <w:rPr/>
        <w:t xml:space="preserve">: Strong current runway + clear $2M scaling path. </w:t>
      </w:r>
    </w:p>
    <w:p>
      <w:pPr>
        <w:pStyle w:val="BodyText"/>
        <w:numPr>
          <w:ilvl w:val="0"/>
          <w:numId w:val="8"/>
        </w:numPr>
        <w:tabs>
          <w:tab w:val="clear" w:pos="709"/>
          <w:tab w:val="left" w:pos="709" w:leader="none"/>
        </w:tabs>
        <w:bidi w:val="0"/>
        <w:spacing w:before="0" w:after="0"/>
        <w:ind w:hanging="283" w:left="709"/>
        <w:jc w:val="left"/>
        <w:rPr/>
      </w:pPr>
      <w:r>
        <w:rPr>
          <w:rStyle w:val="Strong"/>
        </w:rPr>
        <w:t>Regulatory</w:t>
      </w:r>
      <w:r>
        <w:rPr/>
        <w:t xml:space="preserve">: Preclinical work under USF oversight. </w:t>
      </w:r>
    </w:p>
    <w:p>
      <w:pPr>
        <w:pStyle w:val="BodyText"/>
        <w:numPr>
          <w:ilvl w:val="0"/>
          <w:numId w:val="8"/>
        </w:numPr>
        <w:tabs>
          <w:tab w:val="clear" w:pos="709"/>
          <w:tab w:val="left" w:pos="709" w:leader="none"/>
        </w:tabs>
        <w:bidi w:val="0"/>
        <w:spacing w:before="0" w:after="0"/>
        <w:ind w:hanging="283" w:left="709"/>
        <w:jc w:val="left"/>
        <w:rPr/>
      </w:pPr>
      <w:r>
        <w:rPr>
          <w:rStyle w:val="Strong"/>
        </w:rPr>
        <w:t>Competition</w:t>
      </w:r>
      <w:r>
        <w:rPr/>
        <w:t xml:space="preserve">: Partner-first model + multi-target breadth reduces risk. </w:t>
      </w:r>
    </w:p>
    <w:p>
      <w:pPr>
        <w:pStyle w:val="BodyText"/>
        <w:numPr>
          <w:ilvl w:val="0"/>
          <w:numId w:val="8"/>
        </w:numPr>
        <w:tabs>
          <w:tab w:val="clear" w:pos="709"/>
          <w:tab w:val="left" w:pos="709" w:leader="none"/>
        </w:tabs>
        <w:bidi w:val="0"/>
        <w:ind w:hanging="283" w:left="709"/>
        <w:jc w:val="left"/>
        <w:rPr/>
      </w:pPr>
      <w:r>
        <w:rPr>
          <w:rStyle w:val="Strong"/>
        </w:rPr>
        <w:t>Market</w:t>
      </w:r>
      <w:r>
        <w:rPr/>
        <w:t xml:space="preserve">: Early licensing focus de-risks by leveraging partners’ commercialization strengths. </w:t>
      </w:r>
    </w:p>
    <w:p>
      <w:pPr>
        <w:pStyle w:val="Heading3"/>
        <w:bidi w:val="0"/>
        <w:spacing w:lineRule="auto" w:line="276" w:before="0" w:after="140"/>
        <w:jc w:val="left"/>
        <w:rPr/>
      </w:pPr>
      <w:r>
        <w:rPr/>
        <w:t>Next Steps &amp; Call to Action</w:t>
      </w:r>
    </w:p>
    <w:p>
      <w:pPr>
        <w:pStyle w:val="BodyText"/>
        <w:bidi w:val="0"/>
        <w:ind w:hanging="0" w:left="0" w:right="0"/>
        <w:jc w:val="left"/>
        <w:rPr/>
      </w:pPr>
      <w:r>
        <w:rPr/>
        <w:t>BioVoyager offers a capital-efficient, high-potential entry into the longevity space with near-term licensing revenue and strong scientific fundamentals in the USF/Moffitt ecosystem.</w:t>
      </w:r>
    </w:p>
    <w:p>
      <w:pPr>
        <w:pStyle w:val="BodyText"/>
        <w:bidi w:val="0"/>
        <w:ind w:hanging="0" w:left="0" w:right="0"/>
        <w:jc w:val="left"/>
        <w:rPr/>
      </w:pPr>
      <w:r>
        <w:rPr/>
        <w:t>We invite investors (minimum $50k) and strategic partners (pharma, nutraceuticals, longevity clinics) to discuss the $2M expansion round or custom research/licensing collaborations.</w:t>
      </w:r>
    </w:p>
    <w:p>
      <w:pPr>
        <w:pStyle w:val="BodyText"/>
        <w:bidi w:val="0"/>
        <w:ind w:hanging="0" w:left="0" w:right="0"/>
        <w:jc w:val="left"/>
        <w:rPr/>
      </w:pPr>
      <w:r>
        <w:rPr>
          <w:rStyle w:val="Strong"/>
        </w:rPr>
        <w:t>Contact</w:t>
      </w:r>
      <w:r>
        <w:rPr/>
        <w:t xml:space="preserve">: Dragan Nikolic, CEO – </w:t>
      </w:r>
      <w:hyperlink r:id="rId3" w:tgtFrame="_blank">
        <w:r>
          <w:rPr>
            <w:rStyle w:val="Hyperlink"/>
          </w:rPr>
          <w:t>dr.nikolic@ufl.edu</w:t>
        </w:r>
      </w:hyperlink>
      <w:r>
        <w:rPr/>
        <w:t xml:space="preserve"> | 312-730-2562</w:t>
        <w:br/>
      </w:r>
      <w:r>
        <w:rPr>
          <w:rStyle w:val="Strong"/>
        </w:rPr>
        <w:t>Website</w:t>
      </w:r>
      <w:r>
        <w:rPr/>
        <w:t xml:space="preserve">: </w:t>
      </w:r>
      <w:hyperlink r:id="rId4" w:tgtFrame="_blank">
        <w:r>
          <w:rPr>
            <w:rStyle w:val="Hyperlink"/>
          </w:rPr>
          <w:t>www.biovoyager.com</w:t>
        </w:r>
      </w:hyperlink>
    </w:p>
    <w:p>
      <w:pPr>
        <w:pStyle w:val="BodyText"/>
        <w:bidi w:val="0"/>
        <w:ind w:hanging="0" w:left="0" w:right="0"/>
        <w:jc w:val="left"/>
        <w:rPr/>
      </w:pPr>
      <w:r>
        <w:rPr/>
        <w:t>We can supply a pitch deck, detailed financial model, scientific summaries, or lab visit coordination. Thank you for considering partnership in extending healthy human lifespan.</w:t>
      </w:r>
    </w:p>
    <w:p>
      <w:pPr>
        <w:pStyle w:val="BodyText"/>
        <w:bidi w:val="0"/>
        <w:ind w:hanging="0" w:left="0" w:right="0"/>
        <w:jc w:val="left"/>
        <w:rPr/>
      </w:pPr>
      <w:r>
        <w:rPr>
          <w:rStyle w:val="Strong"/>
        </w:rPr>
        <w:t>BioVoyager – Where Science Meets Eternal Youth.</w:t>
      </w:r>
    </w:p>
    <w:p>
      <w:pPr>
        <w:pStyle w:val="BodyText"/>
        <w:bidi w:val="0"/>
        <w:spacing w:before="0" w:after="140"/>
        <w:ind w:hanging="0" w:left="0" w:right="0"/>
        <w:jc w:val="left"/>
        <w:rPr>
          <w:rStyle w:val="Strong"/>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nikolic@ufl.edu" TargetMode="External"/><Relationship Id="rId3" Type="http://schemas.openxmlformats.org/officeDocument/2006/relationships/hyperlink" Target="mailto:dr.nikolic@ufl.edu" TargetMode="External"/><Relationship Id="rId4" Type="http://schemas.openxmlformats.org/officeDocument/2006/relationships/hyperlink" Target="https://www.biovoyager.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LibreOffice/25.8.6.2$Windows_X86_64 LibreOffice_project/b4b39682cd9868fa725bc664aff94278d315bd04</Application>
  <AppVersion>15.0000</AppVersion>
  <Pages>5</Pages>
  <Words>1517</Words>
  <Characters>10006</Characters>
  <CharactersWithSpaces>11435</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2026-06-01T12:24:08Z</dcterms:created>
  <dc:creator/>
  <dc:description/>
  <dc:language>en-US</dc:language>
  <cp:lastModifiedBy/>
  <dcterms:modified xsi:type="dcterms:W3CDTF">2026-06-01T12:54:20Z</dcterms:modified>
  <cp:revision>1</cp:revision>
  <dc:subject/>
  <dc:title/>
</cp:coreProperties>
</file>